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D" w:rsidRDefault="007750DD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BC357F" w:rsidRPr="00FD5799" w:rsidRDefault="00BC357F" w:rsidP="00BC357F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 w:rsidRPr="00BC357F">
        <w:rPr>
          <w:rFonts w:ascii="Verdana" w:eastAsia="Arial Black" w:hAnsi="Verdana" w:cs="Arial Black"/>
          <w:b w:val="0"/>
          <w:bCs w:val="0"/>
          <w:noProof/>
          <w:sz w:val="18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0AA80" wp14:editId="43F99C7C">
                <wp:simplePos x="0" y="0"/>
                <wp:positionH relativeFrom="column">
                  <wp:posOffset>563880</wp:posOffset>
                </wp:positionH>
                <wp:positionV relativeFrom="paragraph">
                  <wp:posOffset>12700</wp:posOffset>
                </wp:positionV>
                <wp:extent cx="5556250" cy="53594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57F" w:rsidRPr="00FD5799" w:rsidRDefault="00BC357F" w:rsidP="00BC357F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VERKIEZINGEN VAN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HET EUROPEES PARLEMENT, </w:t>
                            </w:r>
                            <w:r w:rsidR="00B05481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VAN DE KAMER,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VAN </w:t>
                            </w:r>
                            <w:r w:rsidR="00B05481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HET BRUSSELS HOOFDSTEDELIJK PARLEMENT EN DE BRUSSELSE LEDEN VAN HET VLAAMS PARLEMENT VAN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:rsidR="00BC357F" w:rsidRDefault="00BC357F" w:rsidP="00BC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AA8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4.4pt;margin-top:1pt;width:437.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" filled="f" stroked="f" strokeweight=".5pt">
                <v:textbox>
                  <w:txbxContent>
                    <w:p w:rsidR="00BC357F" w:rsidRPr="00FD5799" w:rsidRDefault="00BC357F" w:rsidP="00BC357F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VERKIEZINGEN VAN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HET EUROPEES PARLEMENT, </w:t>
                      </w:r>
                      <w:r w:rsidR="00B05481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VAN DE KAMER,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VAN </w:t>
                      </w:r>
                      <w:r w:rsidR="00B05481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HET BRUSSELS HOOFDSTEDELIJK PARLEMENT EN DE BRUSSELSE LEDEN VAN HET VLAAMS PARLEMENT VAN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:rsidR="00BC357F" w:rsidRDefault="00BC357F" w:rsidP="00BC357F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428A9827" wp14:editId="59FBEA15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DD" w:rsidRDefault="007750DD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A33B10" w:rsidRPr="00EB7093" w:rsidRDefault="00A33B10" w:rsidP="00A33B10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Bericht over de plaats waar de namen van de getuigen in ontvangst zullen worden genomen</w:t>
      </w:r>
    </w:p>
    <w:p w:rsidR="007750DD" w:rsidRDefault="007750DD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957"/>
      </w:tblGrid>
      <w:tr w:rsidR="007750DD" w:rsidTr="00EE1998">
        <w:trPr>
          <w:trHeight w:val="667"/>
        </w:trPr>
        <w:tc>
          <w:tcPr>
            <w:tcW w:w="2833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</w:tc>
        <w:tc>
          <w:tcPr>
            <w:tcW w:w="695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689"/>
        </w:trPr>
        <w:tc>
          <w:tcPr>
            <w:tcW w:w="2833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2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1337"/>
        </w:trPr>
        <w:tc>
          <w:tcPr>
            <w:tcW w:w="283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 w:rsidP="00BC357F">
            <w:pPr>
              <w:pStyle w:val="TableParagraph"/>
              <w:kinsoku w:val="0"/>
              <w:overflowPunct w:val="0"/>
              <w:spacing w:before="8" w:line="237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Op </w:t>
            </w:r>
            <w:r w:rsidR="00BC357F">
              <w:rPr>
                <w:color w:val="231F20"/>
                <w:sz w:val="18"/>
                <w:szCs w:val="18"/>
              </w:rPr>
              <w:t>28 mei 2024</w:t>
            </w:r>
            <w:r>
              <w:rPr>
                <w:color w:val="231F20"/>
                <w:sz w:val="18"/>
                <w:szCs w:val="18"/>
              </w:rPr>
              <w:t xml:space="preserve"> tussen 14 en 16 uur zal de aanwijzing van getuigen voor de stem- bureaus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in</w:t>
            </w:r>
            <w:r>
              <w:rPr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ontvangst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worden genomen op volgend adres:</w:t>
            </w:r>
          </w:p>
        </w:tc>
        <w:tc>
          <w:tcPr>
            <w:tcW w:w="695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3281"/>
        </w:trPr>
        <w:tc>
          <w:tcPr>
            <w:tcW w:w="9790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05481" w:rsidRDefault="00B05481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</w:p>
          <w:p w:rsidR="007750DD" w:rsidRDefault="00A250D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hoogste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 stembureau aanwijzen.</w:t>
            </w:r>
          </w:p>
          <w:p w:rsidR="007750DD" w:rsidRDefault="007750DD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:rsidR="007750DD" w:rsidRDefault="00A250D9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die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samen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zijn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voorgedragen,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slechts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 één plaatsvervangend getuige aanwijzen.</w:t>
            </w:r>
          </w:p>
          <w:p w:rsidR="007750DD" w:rsidRDefault="007750DD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:rsidR="00B05481" w:rsidRPr="00B05481" w:rsidRDefault="00B05481" w:rsidP="00B0548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 w:rsidRPr="00B05481">
              <w:rPr>
                <w:b/>
                <w:bCs/>
                <w:color w:val="231F20"/>
                <w:sz w:val="18"/>
                <w:szCs w:val="18"/>
              </w:rPr>
              <w:t>De getuigen moeten kiezer zijn voor het Europese Parlement, de Kamer en het Brussels Hoofdstedelijk Parlement in het Brusselse Hoofdstedelijk Gewest.</w:t>
            </w:r>
          </w:p>
          <w:p w:rsidR="00B05481" w:rsidRPr="00AF4F3A" w:rsidRDefault="00B05481" w:rsidP="00B05481">
            <w:pPr>
              <w:tabs>
                <w:tab w:val="left" w:pos="-720"/>
              </w:tabs>
              <w:spacing w:line="240" w:lineRule="atLeas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7750DD" w:rsidRDefault="00A250D9">
            <w:pPr>
              <w:pStyle w:val="TableParagraph"/>
              <w:kinsoku w:val="0"/>
              <w:overflowPunct w:val="0"/>
              <w:spacing w:line="472" w:lineRule="auto"/>
              <w:ind w:right="474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 kandidaten mogen als getuige of plaatsvervangend getuige worden aangewezen.</w:t>
            </w:r>
          </w:p>
          <w:p w:rsidR="007750DD" w:rsidRDefault="00A250D9" w:rsidP="00B05481">
            <w:pPr>
              <w:pStyle w:val="TableParagraph"/>
              <w:kinsoku w:val="0"/>
              <w:overflowPunct w:val="0"/>
              <w:spacing w:before="4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(of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kandidaat)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geven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stembureau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waar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gedurende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 hele duur van de verrichtingen zijn opdracht zal vervullen. Zij geven hiervan zelf kennis aan de door hen aangewezen getuigen.</w:t>
            </w:r>
            <w:r>
              <w:rPr>
                <w:b/>
                <w:b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Deze kennisgeving, ondertekend door de voorzitter van het kantonhoofdbureau, moet door een van de kandidaten zijn ondertekend.</w:t>
            </w:r>
          </w:p>
          <w:p w:rsidR="00B05481" w:rsidRDefault="00B05481" w:rsidP="00B05481">
            <w:pPr>
              <w:pStyle w:val="TableParagraph"/>
              <w:kinsoku w:val="0"/>
              <w:overflowPunct w:val="0"/>
              <w:spacing w:before="4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7750DD" w:rsidTr="00EE1998">
        <w:trPr>
          <w:trHeight w:val="739"/>
        </w:trPr>
        <w:tc>
          <w:tcPr>
            <w:tcW w:w="979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A33B10" w:rsidRDefault="00A33B1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  <w:p w:rsidR="007750DD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7750DD" w:rsidTr="00EE1998">
        <w:trPr>
          <w:trHeight w:val="451"/>
        </w:trPr>
        <w:tc>
          <w:tcPr>
            <w:tcW w:w="28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451"/>
        </w:trPr>
        <w:tc>
          <w:tcPr>
            <w:tcW w:w="28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493"/>
        </w:trPr>
        <w:tc>
          <w:tcPr>
            <w:tcW w:w="28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het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10" w:rsidRDefault="00A33B1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33B10" w:rsidRDefault="00A33B1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10" w:rsidRDefault="00A33B1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Default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sectPr w:rsidR="00EE1998" w:rsidRPr="00EE1998">
      <w:headerReference w:type="default" r:id="rId7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3A" w:rsidRDefault="00B8663A" w:rsidP="00B8663A">
      <w:r>
        <w:separator/>
      </w:r>
    </w:p>
  </w:endnote>
  <w:endnote w:type="continuationSeparator" w:id="0">
    <w:p w:rsidR="00B8663A" w:rsidRDefault="00B8663A" w:rsidP="00B8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3A" w:rsidRDefault="00B8663A" w:rsidP="00B8663A">
      <w:r>
        <w:separator/>
      </w:r>
    </w:p>
  </w:footnote>
  <w:footnote w:type="continuationSeparator" w:id="0">
    <w:p w:rsidR="00B8663A" w:rsidRDefault="00B8663A" w:rsidP="00B8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3A" w:rsidRPr="00A33B10" w:rsidRDefault="00B8663A">
    <w:pPr>
      <w:pStyle w:val="Koptekst"/>
      <w:rPr>
        <w:sz w:val="14"/>
        <w:szCs w:val="14"/>
        <w:lang w:val="nl-BE"/>
      </w:rPr>
    </w:pPr>
    <w:r w:rsidRPr="00A33B10">
      <w:rPr>
        <w:sz w:val="14"/>
        <w:szCs w:val="14"/>
        <w:lang w:val="nl-BE"/>
      </w:rPr>
      <w:t>Formulier AC</w:t>
    </w:r>
    <w:r w:rsidR="00B05481">
      <w:rPr>
        <w:sz w:val="14"/>
        <w:szCs w:val="14"/>
        <w:lang w:val="nl-BE"/>
      </w:rPr>
      <w:t>F</w:t>
    </w:r>
    <w:r w:rsidRPr="00A33B10">
      <w:rPr>
        <w:sz w:val="14"/>
        <w:szCs w:val="14"/>
        <w:lang w:val="nl-BE"/>
      </w:rPr>
      <w:t>2bis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236391"/>
    <w:rsid w:val="00361BD4"/>
    <w:rsid w:val="007750DD"/>
    <w:rsid w:val="008D4E69"/>
    <w:rsid w:val="00A250D9"/>
    <w:rsid w:val="00A33B10"/>
    <w:rsid w:val="00AE4FA5"/>
    <w:rsid w:val="00B05481"/>
    <w:rsid w:val="00B8663A"/>
    <w:rsid w:val="00BC357F"/>
    <w:rsid w:val="00D00064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E907B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866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63A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B866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63A"/>
    <w:rPr>
      <w:rFonts w:ascii="Verdana" w:hAnsi="Verdana" w:cs="Verdana"/>
    </w:rPr>
  </w:style>
  <w:style w:type="character" w:styleId="Verwijzingopmerking">
    <w:name w:val="annotation reference"/>
    <w:uiPriority w:val="99"/>
    <w:rsid w:val="00BC35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BC357F"/>
    <w:pPr>
      <w:keepLines/>
      <w:widowControl/>
      <w:suppressAutoHyphens/>
      <w:autoSpaceDE/>
      <w:autoSpaceDN/>
      <w:adjustRightInd/>
      <w:spacing w:line="260" w:lineRule="atLeast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C357F"/>
    <w:rPr>
      <w:rFonts w:ascii="Arial" w:eastAsia="Times New Roman" w:hAnsi="Arial" w:cs="Times New Roman"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357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dcterms:created xsi:type="dcterms:W3CDTF">2024-01-29T15:26:00Z</dcterms:created>
  <dcterms:modified xsi:type="dcterms:W3CDTF">2024-01-29T15:31:00Z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